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ED" w:rsidRDefault="008D1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Размер государственной пошлины за учетно-регистрационные действия с 01.01.2025 г.</w:t>
      </w:r>
    </w:p>
    <w:tbl>
      <w:tblPr>
        <w:tblStyle w:val="aff1"/>
        <w:tblW w:w="14016" w:type="dxa"/>
        <w:tblLayout w:type="fixed"/>
        <w:tblLook w:val="04A0" w:firstRow="1" w:lastRow="0" w:firstColumn="1" w:lastColumn="0" w:noHBand="0" w:noVBand="1"/>
      </w:tblPr>
      <w:tblGrid>
        <w:gridCol w:w="853"/>
        <w:gridCol w:w="4052"/>
        <w:gridCol w:w="2404"/>
        <w:gridCol w:w="3287"/>
        <w:gridCol w:w="3420"/>
      </w:tblGrid>
      <w:tr w:rsidR="00AD10ED">
        <w:trPr>
          <w:trHeight w:val="992"/>
        </w:trPr>
        <w:tc>
          <w:tcPr>
            <w:tcW w:w="853" w:type="dxa"/>
            <w:vAlign w:val="center"/>
          </w:tcPr>
          <w:p w:rsidR="00AD10ED" w:rsidRDefault="008D1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10ED" w:rsidRDefault="008D1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52" w:type="dxa"/>
            <w:vAlign w:val="center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2404" w:type="dxa"/>
            <w:vAlign w:val="center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Норма права налогового законодательства</w:t>
            </w:r>
          </w:p>
        </w:tc>
        <w:tc>
          <w:tcPr>
            <w:tcW w:w="3287" w:type="dxa"/>
            <w:vAlign w:val="center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Размер государственной пошлины для ОН,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если КС &lt; 20 000 000 (ФЛ)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и 22 000 000 (ЮЛ) рублей,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либо не определена</w:t>
            </w:r>
          </w:p>
        </w:tc>
        <w:tc>
          <w:tcPr>
            <w:tcW w:w="3420" w:type="dxa"/>
            <w:vAlign w:val="center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Размер государственной пошлины по формуле для ОН если КС &gt; 20 000 000 (ФЛ)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и 22 000 000 (ЮЛ) рублей</w:t>
            </w:r>
          </w:p>
        </w:tc>
      </w:tr>
      <w:tr w:rsidR="00AD10ED">
        <w:trPr>
          <w:trHeight w:val="299"/>
        </w:trPr>
        <w:tc>
          <w:tcPr>
            <w:tcW w:w="14016" w:type="dxa"/>
            <w:gridSpan w:val="5"/>
          </w:tcPr>
          <w:p w:rsidR="00AD10ED" w:rsidRDefault="008D1450">
            <w:pPr>
              <w:widowControl w:val="0"/>
              <w:shd w:val="clear" w:color="C5E0B3" w:themeColor="accent6" w:themeTint="66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Размер государственной пошлины за государственную регистрацию прав</w:t>
            </w:r>
          </w:p>
        </w:tc>
      </w:tr>
      <w:tr w:rsidR="00AD10ED">
        <w:trPr>
          <w:trHeight w:val="276"/>
        </w:trPr>
        <w:tc>
          <w:tcPr>
            <w:tcW w:w="853" w:type="dxa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2" w:type="dxa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Государственная регистрация права физического л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ица на земельный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строительства, либо на создаваемый или созданный на таком земельном участке объект недвижимого имущества</w:t>
            </w:r>
          </w:p>
        </w:tc>
        <w:tc>
          <w:tcPr>
            <w:tcW w:w="2404" w:type="dxa"/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пп.24 п.1 ст.333.33 НК РФ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322"/>
        </w:trPr>
        <w:tc>
          <w:tcPr>
            <w:tcW w:w="14016" w:type="dxa"/>
            <w:gridSpan w:val="5"/>
          </w:tcPr>
          <w:p w:rsidR="00AD10ED" w:rsidRDefault="008D1450">
            <w:pPr>
              <w:widowControl w:val="0"/>
              <w:shd w:val="clear" w:color="B4C6E7" w:themeColor="accent5" w:themeTint="66" w:fill="B4C6E7" w:themeFill="accent5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Размер государственной пошлины за государственный кадастровый учет</w:t>
            </w:r>
          </w:p>
        </w:tc>
      </w:tr>
      <w:tr w:rsidR="00AD10ED">
        <w:trPr>
          <w:trHeight w:val="324"/>
        </w:trPr>
        <w:tc>
          <w:tcPr>
            <w:tcW w:w="853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 w:val="restart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Государственный кадастровый учет всех помещений и (или) машино-мест, расположенных в здании или сооружении, сведения о которых содержатся в ЕГРН в отношении каждого такого помещения и (или) машино-места</w:t>
            </w:r>
          </w:p>
        </w:tc>
        <w:tc>
          <w:tcPr>
            <w:tcW w:w="2404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пп.22.2 п.1 ст.333.33,  НК РФ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276"/>
        </w:trPr>
        <w:tc>
          <w:tcPr>
            <w:tcW w:w="853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22 000 рублей</w:t>
            </w:r>
          </w:p>
        </w:tc>
      </w:tr>
      <w:tr w:rsidR="00AD10ED">
        <w:trPr>
          <w:trHeight w:val="138"/>
        </w:trPr>
        <w:tc>
          <w:tcPr>
            <w:tcW w:w="853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4052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Государственный кадастровый учет созданных здания, сооружения с одновременным государственным кадастровым учетом всех расположенных в них помещений, машино-мест, в том числе помещений, относящих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ся к имуществу общего пользования, государственная пошлина уплачива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ется только за осуществление государственного кадастрового учета здания, сооружения</w:t>
            </w:r>
          </w:p>
        </w:tc>
        <w:tc>
          <w:tcPr>
            <w:tcW w:w="2404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пп.22.2 п.1 ст.333.33, п.1 ст.333.34-1 НК РФ</w:t>
            </w:r>
          </w:p>
        </w:tc>
        <w:tc>
          <w:tcPr>
            <w:tcW w:w="6707" w:type="dxa"/>
            <w:gridSpan w:val="2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138"/>
        </w:trPr>
        <w:tc>
          <w:tcPr>
            <w:tcW w:w="853" w:type="dxa"/>
            <w:vMerge/>
            <w:tcBorders>
              <w:top w:val="none" w:sz="4" w:space="0" w:color="000000"/>
            </w:tcBorders>
          </w:tcPr>
          <w:p w:rsidR="00AD10ED" w:rsidRDefault="00AD10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vMerge/>
            <w:tcBorders>
              <w:top w:val="none" w:sz="4" w:space="0" w:color="000000"/>
            </w:tcBorders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one" w:sz="4" w:space="0" w:color="000000"/>
            </w:tcBorders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22 000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293"/>
        </w:trPr>
        <w:tc>
          <w:tcPr>
            <w:tcW w:w="853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 w:val="restart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Государственный кадастровый учет в связи с изменением сведений об объекте недвижимости</w:t>
            </w:r>
          </w:p>
        </w:tc>
        <w:tc>
          <w:tcPr>
            <w:tcW w:w="2404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пп.22.3 п.1 ст.333.33 НК РФ</w:t>
            </w:r>
          </w:p>
          <w:p w:rsidR="00AD10ED" w:rsidRDefault="00AD1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1 000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276"/>
        </w:trPr>
        <w:tc>
          <w:tcPr>
            <w:tcW w:w="853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276"/>
        </w:trPr>
        <w:tc>
          <w:tcPr>
            <w:tcW w:w="853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rPr>
                <w:rFonts w:ascii="Tinos" w:eastAsia="Arial" w:hAnsi="Tinos" w:cs="Arial"/>
                <w:sz w:val="24"/>
                <w:szCs w:val="24"/>
              </w:rPr>
            </w:pPr>
            <w:r>
              <w:rPr>
                <w:rFonts w:ascii="Tinos" w:eastAsia="Arial" w:hAnsi="Tinos" w:cs="Arial"/>
                <w:sz w:val="24"/>
                <w:szCs w:val="24"/>
              </w:rPr>
              <w:t>5.</w:t>
            </w:r>
          </w:p>
          <w:p w:rsidR="00AD10ED" w:rsidRDefault="00AD10ED">
            <w:pPr>
              <w:widowControl w:val="0"/>
              <w:spacing w:after="0" w:line="240" w:lineRule="auto"/>
              <w:rPr>
                <w:rFonts w:ascii="Tinos" w:eastAsia="Arial" w:hAnsi="Tinos" w:cs="Arial"/>
                <w:sz w:val="24"/>
                <w:szCs w:val="24"/>
              </w:rPr>
            </w:pPr>
          </w:p>
        </w:tc>
        <w:tc>
          <w:tcPr>
            <w:tcW w:w="4052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 государственном кадастровом учете в связи с изменением характеристик здания, сооружения при реконструкции в случае, если изменяются характеристики помещений, машино-мест, либо образуются новые помещения, машино-места государственная пошлина уплачиваетс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я только за осуществление государственного кадастрового учета в связи с изменением характеристик таких здания, сооружения.</w:t>
            </w:r>
          </w:p>
        </w:tc>
        <w:tc>
          <w:tcPr>
            <w:tcW w:w="2404" w:type="dxa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пп.22.3 п.1 ст.333.33, п.3 ст.333.34-1 НК РФ</w:t>
            </w:r>
          </w:p>
          <w:p w:rsidR="00AD10ED" w:rsidRDefault="00AD10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1 000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rPr>
          <w:trHeight w:val="491"/>
        </w:trPr>
        <w:tc>
          <w:tcPr>
            <w:tcW w:w="853" w:type="dxa"/>
            <w:vMerge/>
            <w:tcBorders>
              <w:top w:val="none" w:sz="4" w:space="0" w:color="000000"/>
            </w:tcBorders>
          </w:tcPr>
          <w:p w:rsidR="00AD10ED" w:rsidRDefault="00AD10ED"/>
        </w:tc>
        <w:tc>
          <w:tcPr>
            <w:tcW w:w="4052" w:type="dxa"/>
            <w:vMerge/>
            <w:tcBorders>
              <w:top w:val="none" w:sz="4" w:space="0" w:color="000000"/>
            </w:tcBorders>
          </w:tcPr>
          <w:p w:rsidR="00AD10ED" w:rsidRDefault="00AD10ED"/>
        </w:tc>
        <w:tc>
          <w:tcPr>
            <w:tcW w:w="2404" w:type="dxa"/>
            <w:vMerge/>
            <w:tcBorders>
              <w:top w:val="none" w:sz="4" w:space="0" w:color="000000"/>
            </w:tcBorders>
          </w:tcPr>
          <w:p w:rsidR="00AD10ED" w:rsidRDefault="00AD10ED"/>
        </w:tc>
        <w:tc>
          <w:tcPr>
            <w:tcW w:w="6707" w:type="dxa"/>
            <w:gridSpan w:val="2"/>
            <w:vMerge w:val="restart"/>
            <w:tcBorders>
              <w:top w:val="none" w:sz="4" w:space="0" w:color="000000"/>
            </w:tcBorders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2 000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c>
          <w:tcPr>
            <w:tcW w:w="14016" w:type="dxa"/>
            <w:gridSpan w:val="5"/>
          </w:tcPr>
          <w:p w:rsidR="00AD10ED" w:rsidRDefault="008D1450">
            <w:pPr>
              <w:widowControl w:val="0"/>
              <w:shd w:val="clear" w:color="FFE599" w:themeColor="accent4" w:themeTint="66" w:fill="FFE599" w:themeFill="accent4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</w:rPr>
              <w:t>Размер государственной пошлины за государственный кадастровый учет и государственную регистрацию прав (ЕО)</w:t>
            </w:r>
          </w:p>
        </w:tc>
      </w:tr>
      <w:tr w:rsidR="00AD10ED">
        <w:trPr>
          <w:trHeight w:val="276"/>
        </w:trPr>
        <w:tc>
          <w:tcPr>
            <w:tcW w:w="853" w:type="dxa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2" w:type="dxa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Государственный кадастровый учет и государственную регистрацию прав на предприятие как имущественный комплекс</w:t>
            </w:r>
          </w:p>
        </w:tc>
        <w:tc>
          <w:tcPr>
            <w:tcW w:w="2404" w:type="dxa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пп.21 п.1 ст.333.33 НК РФ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  <w:t xml:space="preserve">0,2 % * </w:t>
            </w:r>
            <w:r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  <w:t>стоимость имущества, имущественных и иных прав, входящих в состав ПИК,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  <w:t>но не  &lt; 0,2 % * ЦС,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  <w:t>и не &gt; 1 000 000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i/>
                <w:iCs/>
                <w:sz w:val="24"/>
                <w:szCs w:val="24"/>
              </w:rPr>
              <w:t xml:space="preserve">Стоимость имущества, имущественных и иных прав, входящих в состав ПИК -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установленная на дату обращения за совершением юридически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значимого действия</w:t>
            </w:r>
          </w:p>
        </w:tc>
      </w:tr>
      <w:tr w:rsidR="00AD10ED">
        <w:tc>
          <w:tcPr>
            <w:tcW w:w="853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 w:val="restart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Государственный кадастровый учет и государственная регистрация прав на созданные (образованные) объекты недвижимости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пп.22.4 п.1 ст.333.33 НК РФ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6 000 рублей</w:t>
            </w: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ED">
        <w:trPr>
          <w:trHeight w:val="276"/>
        </w:trPr>
        <w:tc>
          <w:tcPr>
            <w:tcW w:w="853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052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AD10ED" w:rsidRDefault="00AD10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66 000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0ED">
        <w:tc>
          <w:tcPr>
            <w:tcW w:w="853" w:type="dxa"/>
          </w:tcPr>
          <w:p w:rsidR="00AD10ED" w:rsidRDefault="008D1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52" w:type="dxa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Государственный кадастровый учет и государственная регистрация права собственности физического лица на земельный участок для ведения личного подсобного хозяйства, огородничества, садоводства, индивидуального гаражного или индивидуального жилищного строител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ьства либо на создаваемый или созданный на таком земельном участке объект недвижимого имущества</w:t>
            </w:r>
          </w:p>
        </w:tc>
        <w:tc>
          <w:tcPr>
            <w:tcW w:w="2404" w:type="dxa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пп.24.1 п.1 ст.333.33 НК РФ</w:t>
            </w:r>
          </w:p>
        </w:tc>
        <w:tc>
          <w:tcPr>
            <w:tcW w:w="6707" w:type="dxa"/>
            <w:gridSpan w:val="2"/>
          </w:tcPr>
          <w:p w:rsidR="00AD10ED" w:rsidRDefault="008D1450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nos" w:hAnsi="Times New Roman" w:cs="Times New Roman"/>
                <w:b/>
                <w:bCs/>
                <w:sz w:val="24"/>
                <w:szCs w:val="24"/>
              </w:rPr>
              <w:t>1 000 рублей</w:t>
            </w: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ED" w:rsidRDefault="00AD10ED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ED">
        <w:tc>
          <w:tcPr>
            <w:tcW w:w="14016" w:type="dxa"/>
            <w:gridSpan w:val="5"/>
          </w:tcPr>
          <w:p w:rsidR="00AD10ED" w:rsidRDefault="00AD10ED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НК РФ -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Налоговый кодекс Российской Федерации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ЕГРН – Единый государственный реестр недвижимости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ГП – государственная пошлина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КС – кадастровая стоимость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ЦС – цена сделки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ФЛ – физическое лицо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ЮЛ – юридическое лицо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ПИК – предприятие как имущественный комплекс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&lt; – мен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ее</w:t>
            </w:r>
          </w:p>
          <w:p w:rsidR="00AD10ED" w:rsidRDefault="008D14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&gt; –  более</w:t>
            </w:r>
          </w:p>
        </w:tc>
      </w:tr>
    </w:tbl>
    <w:p w:rsidR="00AD10ED" w:rsidRDefault="00AD1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10ED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50" w:rsidRDefault="008D1450">
      <w:pPr>
        <w:spacing w:after="0" w:line="240" w:lineRule="auto"/>
      </w:pPr>
      <w:r>
        <w:separator/>
      </w:r>
    </w:p>
  </w:endnote>
  <w:endnote w:type="continuationSeparator" w:id="0">
    <w:p w:rsidR="008D1450" w:rsidRDefault="008D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50" w:rsidRDefault="008D1450">
      <w:pPr>
        <w:spacing w:after="0" w:line="240" w:lineRule="auto"/>
      </w:pPr>
      <w:r>
        <w:separator/>
      </w:r>
    </w:p>
  </w:footnote>
  <w:footnote w:type="continuationSeparator" w:id="0">
    <w:p w:rsidR="008D1450" w:rsidRDefault="008D1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D"/>
    <w:rsid w:val="00200248"/>
    <w:rsid w:val="008D1450"/>
    <w:rsid w:val="00A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DF47"/>
  <w15:docId w15:val="{AA713E36-CE34-4E4C-981F-19ACE84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paragraph" w:styleId="a4">
    <w:name w:val="Title"/>
    <w:basedOn w:val="a"/>
    <w:next w:val="af6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9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pPr>
      <w:spacing w:after="200" w:line="276" w:lineRule="auto"/>
    </w:pPr>
  </w:style>
  <w:style w:type="paragraph" w:styleId="afc">
    <w:name w:val="table of figures"/>
    <w:basedOn w:val="a"/>
    <w:next w:val="a"/>
    <w:uiPriority w:val="99"/>
    <w:unhideWhenUsed/>
    <w:qFormat/>
    <w:pPr>
      <w:spacing w:after="0"/>
    </w:pPr>
  </w:style>
  <w:style w:type="paragraph" w:styleId="afd">
    <w:name w:val="No Spacing"/>
    <w:basedOn w:val="a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3323-453E-46C0-9F72-13985207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kio15-01</cp:lastModifiedBy>
  <cp:revision>30</cp:revision>
  <dcterms:created xsi:type="dcterms:W3CDTF">2024-12-12T14:31:00Z</dcterms:created>
  <dcterms:modified xsi:type="dcterms:W3CDTF">2025-01-20T06:24:00Z</dcterms:modified>
  <dc:language>ru-RU</dc:language>
</cp:coreProperties>
</file>